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left"/>
        <w:rPr>
          <w:b/>
        </w:rPr>
      </w:pPr>
      <w:r>
        <w:rPr>
          <w:b/>
        </w:rPr>
        <w:t>ORAL COMMUNICATION COURSE</w:t>
      </w:r>
    </w:p>
    <w:p>
      <w:pPr>
        <w:pStyle w:val="style0"/>
        <w:jc w:val="left"/>
        <w:rPr>
          <w:b/>
        </w:rPr>
      </w:pPr>
      <w:r>
        <w:rPr>
          <w:b/>
        </w:rPr>
        <w:t>COURSE OUTLINE</w:t>
      </w:r>
    </w:p>
    <w:p>
      <w:pPr>
        <w:pStyle w:val="style0"/>
        <w:jc w:val="center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  <w:u w:val="single"/>
        </w:rPr>
      </w:pPr>
      <w:r>
        <w:rPr>
          <w:b/>
          <w:u w:val="single"/>
        </w:rPr>
        <w:t>COURSE OBJECTIVES</w:t>
      </w:r>
    </w:p>
    <w:p>
      <w:pPr>
        <w:pStyle w:val="style0"/>
        <w:rPr>
          <w:b/>
        </w:rPr>
      </w:pPr>
      <w:r>
        <w:rPr>
          <w:b/>
        </w:rPr>
        <w:t>By the end of the course, the learner should be able to: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 xml:space="preserve">1)  Identify sounds from their phonetic transcriptions;  </w:t>
      </w:r>
    </w:p>
    <w:p>
      <w:pPr>
        <w:pStyle w:val="style0"/>
        <w:rPr>
          <w:b/>
        </w:rPr>
      </w:pPr>
      <w:r>
        <w:rPr>
          <w:b/>
        </w:rPr>
        <w:t>2)  Speak clearly in English;</w:t>
      </w:r>
    </w:p>
    <w:p>
      <w:pPr>
        <w:pStyle w:val="style0"/>
        <w:rPr>
          <w:b/>
        </w:rPr>
      </w:pPr>
      <w:r>
        <w:rPr>
          <w:b/>
        </w:rPr>
        <w:t>3) Communicate effectively in the oral form;</w:t>
      </w:r>
    </w:p>
    <w:p>
      <w:pPr>
        <w:pStyle w:val="style0"/>
        <w:jc w:val="center"/>
        <w:rPr>
          <w:b/>
        </w:rPr>
      </w:pP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700"/>
        <w:gridCol w:w="4140"/>
        <w:gridCol w:w="1800"/>
      </w:tblGrid>
      <w:tr>
        <w:trPr/>
        <w:tc>
          <w:tcPr>
            <w:tcW w:w="1080" w:type="dxa"/>
            <w:tcBorders/>
          </w:tcPr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>WEEK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4140" w:type="dxa"/>
            <w:tcBorders/>
          </w:tcPr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>SUB-TOPIC</w:t>
            </w:r>
          </w:p>
        </w:tc>
        <w:tc>
          <w:tcPr>
            <w:tcW w:w="1800" w:type="dxa"/>
            <w:tcBorders/>
          </w:tcPr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NO. OF</w:t>
            </w:r>
          </w:p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HOURS</w:t>
            </w:r>
          </w:p>
        </w:tc>
      </w:tr>
      <w:tr>
        <w:tblPrEx/>
        <w:trPr/>
        <w:tc>
          <w:tcPr>
            <w:tcW w:w="108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1 - 4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Speech Production               </w:t>
            </w:r>
          </w:p>
        </w:tc>
        <w:tc>
          <w:tcPr>
            <w:tcW w:w="414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-  Speech organs,</w:t>
            </w:r>
          </w:p>
          <w:p>
            <w:pPr>
              <w:pStyle w:val="style0"/>
              <w:rPr/>
            </w:pPr>
            <w:r>
              <w:t xml:space="preserve">- Consonants and Vowel sound symbols </w:t>
            </w:r>
          </w:p>
          <w:p>
            <w:pPr>
              <w:pStyle w:val="style0"/>
              <w:rPr/>
            </w:pPr>
            <w:r>
              <w:t xml:space="preserve">-  Use of minimal pairs </w:t>
            </w:r>
          </w:p>
          <w:p>
            <w:pPr>
              <w:pStyle w:val="style0"/>
              <w:rPr/>
            </w:pPr>
            <w:r>
              <w:t>- Transcription</w:t>
            </w:r>
          </w:p>
          <w:p>
            <w:pPr>
              <w:pStyle w:val="style0"/>
              <w:rPr/>
            </w:pPr>
            <w:r>
              <w:t>- Stress and Intonation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8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080" w:type="dxa"/>
            <w:tcBorders/>
          </w:tcPr>
          <w:p>
            <w:pPr>
              <w:pStyle w:val="style0"/>
              <w:jc w:val="center"/>
              <w:rPr/>
            </w:pPr>
          </w:p>
          <w:p>
            <w:pPr>
              <w:pStyle w:val="style0"/>
              <w:jc w:val="center"/>
              <w:rPr/>
            </w:pPr>
            <w:r>
              <w:t>5 - 6</w:t>
            </w:r>
          </w:p>
          <w:p>
            <w:pPr>
              <w:pStyle w:val="style0"/>
              <w:rPr/>
            </w:pPr>
          </w:p>
        </w:tc>
        <w:tc>
          <w:tcPr>
            <w:tcW w:w="270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Effective Communication</w:t>
            </w:r>
          </w:p>
        </w:tc>
        <w:tc>
          <w:tcPr>
            <w:tcW w:w="4140" w:type="dxa"/>
            <w:tcBorders/>
          </w:tcPr>
          <w:p>
            <w:pPr>
              <w:pStyle w:val="style0"/>
              <w:rPr/>
            </w:pPr>
            <w:r>
              <w:t xml:space="preserve">  </w:t>
            </w:r>
          </w:p>
          <w:p>
            <w:pPr>
              <w:pStyle w:val="style0"/>
              <w:rPr/>
            </w:pPr>
            <w:r>
              <w:t>-  Definition of communication</w:t>
            </w:r>
          </w:p>
          <w:p>
            <w:pPr>
              <w:pStyle w:val="style0"/>
              <w:rPr/>
            </w:pPr>
            <w:r>
              <w:t>-   Process of Communication</w:t>
            </w:r>
          </w:p>
          <w:p>
            <w:pPr>
              <w:pStyle w:val="style0"/>
              <w:rPr/>
            </w:pPr>
            <w:r>
              <w:t>-  Essentials of effective communication</w:t>
            </w:r>
          </w:p>
          <w:p>
            <w:pPr>
              <w:pStyle w:val="style0"/>
              <w:rPr/>
            </w:pPr>
            <w:r>
              <w:t>-  Barriers to effective communication</w:t>
            </w:r>
          </w:p>
          <w:p>
            <w:pPr>
              <w:pStyle w:val="style0"/>
              <w:rPr/>
            </w:pPr>
            <w:r>
              <w:t>-  Principles of effective communication</w:t>
            </w:r>
          </w:p>
          <w:p>
            <w:pPr>
              <w:pStyle w:val="style0"/>
              <w:rPr/>
            </w:pPr>
            <w:r>
              <w:t xml:space="preserve">   forms of communication</w:t>
            </w:r>
          </w:p>
          <w:p>
            <w:pPr>
              <w:pStyle w:val="style0"/>
              <w:rPr/>
            </w:pPr>
            <w:r>
              <w:t xml:space="preserve">   i) Verbal Communication</w:t>
            </w:r>
          </w:p>
          <w:p>
            <w:pPr>
              <w:pStyle w:val="style0"/>
              <w:rPr/>
            </w:pPr>
            <w:r>
              <w:t xml:space="preserve">   ii) Non-verbal Communication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4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</w:tr>
      <w:tr>
        <w:tblPrEx/>
        <w:trPr>
          <w:trHeight w:val="1457" w:hRule="atLeast"/>
        </w:trPr>
        <w:tc>
          <w:tcPr>
            <w:tcW w:w="1080" w:type="dxa"/>
            <w:tcBorders/>
          </w:tcPr>
          <w:p>
            <w:pPr>
              <w:pStyle w:val="style0"/>
              <w:jc w:val="center"/>
              <w:rPr/>
            </w:pPr>
            <w:r>
              <w:t>7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/>
            </w:pPr>
            <w:r>
              <w:t>Public Speaking</w:t>
            </w:r>
          </w:p>
        </w:tc>
        <w:tc>
          <w:tcPr>
            <w:tcW w:w="4140" w:type="dxa"/>
            <w:tcBorders/>
          </w:tcPr>
          <w:p>
            <w:pPr>
              <w:pStyle w:val="style0"/>
              <w:rPr/>
            </w:pPr>
            <w:r>
              <w:t>-  Definition of Public Speaking</w:t>
            </w:r>
          </w:p>
          <w:p>
            <w:pPr>
              <w:pStyle w:val="style0"/>
              <w:rPr/>
            </w:pPr>
            <w:r>
              <w:t>-  Importance of public speaking</w:t>
            </w:r>
          </w:p>
          <w:p>
            <w:pPr>
              <w:pStyle w:val="style0"/>
              <w:rPr/>
            </w:pPr>
            <w:r>
              <w:t>-  Preparation of speech</w:t>
            </w:r>
          </w:p>
          <w:p>
            <w:pPr>
              <w:pStyle w:val="style0"/>
              <w:rPr/>
            </w:pPr>
            <w:r>
              <w:t>-  Delivery of a speech</w:t>
            </w:r>
          </w:p>
          <w:p>
            <w:pPr>
              <w:pStyle w:val="style0"/>
              <w:rPr/>
            </w:pPr>
            <w:r>
              <w:t>-  Overcoming Stage fright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2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</w:tr>
      <w:tr>
        <w:tblPrEx/>
        <w:trPr>
          <w:trHeight w:val="2330" w:hRule="atLeast"/>
        </w:trPr>
        <w:tc>
          <w:tcPr>
            <w:tcW w:w="1080" w:type="dxa"/>
            <w:tcBorders/>
          </w:tcPr>
          <w:p>
            <w:pPr>
              <w:pStyle w:val="style0"/>
              <w:jc w:val="center"/>
              <w:rPr/>
            </w:pPr>
            <w:r>
              <w:t>8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/>
            </w:pPr>
            <w:r>
              <w:t>Persuasion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  <w:tc>
          <w:tcPr>
            <w:tcW w:w="4140" w:type="dxa"/>
            <w:tcBorders/>
          </w:tcPr>
          <w:p>
            <w:pPr>
              <w:pStyle w:val="style0"/>
              <w:rPr/>
            </w:pPr>
            <w:r>
              <w:t>-  Definition of Persuasion</w:t>
            </w:r>
          </w:p>
          <w:p>
            <w:pPr>
              <w:pStyle w:val="style0"/>
              <w:rPr/>
            </w:pPr>
            <w:r>
              <w:t>- Purpose of persuation</w:t>
            </w:r>
          </w:p>
          <w:p>
            <w:pPr>
              <w:pStyle w:val="style0"/>
              <w:rPr/>
            </w:pPr>
            <w:r>
              <w:t>-  Goals of persuasion</w:t>
            </w:r>
          </w:p>
          <w:p>
            <w:pPr>
              <w:pStyle w:val="style0"/>
              <w:rPr/>
            </w:pPr>
            <w:r>
              <w:t>-  Methods of persuasion</w:t>
            </w:r>
          </w:p>
          <w:p>
            <w:pPr>
              <w:pStyle w:val="style0"/>
              <w:rPr/>
            </w:pPr>
            <w:r>
              <w:t>-  Application of persuasion in             communication situations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2</w:t>
            </w:r>
          </w:p>
          <w:p>
            <w:pPr>
              <w:pStyle w:val="style0"/>
              <w:rPr/>
            </w:pPr>
          </w:p>
        </w:tc>
      </w:tr>
      <w:tr>
        <w:tblPrEx/>
        <w:trPr>
          <w:trHeight w:val="2330" w:hRule="atLeast"/>
        </w:trPr>
        <w:tc>
          <w:tcPr>
            <w:tcW w:w="1080" w:type="dxa"/>
            <w:tcBorders/>
          </w:tcPr>
          <w:p>
            <w:pPr>
              <w:pStyle w:val="style0"/>
              <w:jc w:val="center"/>
              <w:rPr/>
            </w:pPr>
            <w:r>
              <w:t>9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/>
            </w:pPr>
            <w:r>
              <w:t>Interviews</w:t>
            </w:r>
          </w:p>
        </w:tc>
        <w:tc>
          <w:tcPr>
            <w:tcW w:w="4140" w:type="dxa"/>
            <w:tcBorders/>
          </w:tcPr>
          <w:p>
            <w:pPr>
              <w:pStyle w:val="style0"/>
              <w:rPr/>
            </w:pPr>
            <w:r>
              <w:t>-  Definition of interview</w:t>
            </w:r>
          </w:p>
          <w:p>
            <w:pPr>
              <w:pStyle w:val="style0"/>
              <w:rPr/>
            </w:pPr>
            <w:r>
              <w:t>-  Types of interviews</w:t>
            </w:r>
          </w:p>
          <w:p>
            <w:pPr>
              <w:pStyle w:val="style0"/>
              <w:rPr/>
            </w:pPr>
            <w:r>
              <w:t>-  Preparation for interview by:</w:t>
            </w:r>
          </w:p>
          <w:p>
            <w:pPr>
              <w:pStyle w:val="style0"/>
              <w:rPr/>
            </w:pPr>
            <w:r>
              <w:t xml:space="preserve">       i) interviewer</w:t>
            </w:r>
          </w:p>
          <w:p>
            <w:pPr>
              <w:pStyle w:val="style0"/>
              <w:rPr/>
            </w:pPr>
            <w:r>
              <w:t xml:space="preserve">       ii) interviewee</w:t>
            </w:r>
          </w:p>
          <w:p>
            <w:pPr>
              <w:pStyle w:val="style0"/>
              <w:rPr/>
            </w:pPr>
            <w:r>
              <w:t>-  Conduct at the interview by:</w:t>
            </w:r>
          </w:p>
          <w:p>
            <w:pPr>
              <w:pStyle w:val="style0"/>
              <w:rPr/>
            </w:pPr>
            <w:r>
              <w:t xml:space="preserve">       i)  interview</w:t>
            </w:r>
          </w:p>
          <w:p>
            <w:pPr>
              <w:pStyle w:val="style0"/>
              <w:rPr/>
            </w:pPr>
            <w:r>
              <w:t xml:space="preserve">       ii) interviewee    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/>
            </w:pPr>
            <w:r>
              <w:t xml:space="preserve">      </w:t>
            </w:r>
          </w:p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2</w:t>
            </w:r>
          </w:p>
        </w:tc>
      </w:tr>
      <w:tr>
        <w:tblPrEx/>
        <w:trPr>
          <w:trHeight w:val="3050" w:hRule="atLeast"/>
        </w:trPr>
        <w:tc>
          <w:tcPr>
            <w:tcW w:w="1080" w:type="dxa"/>
            <w:tcBorders/>
          </w:tcPr>
          <w:p>
            <w:pPr>
              <w:pStyle w:val="style0"/>
              <w:jc w:val="center"/>
              <w:rPr/>
            </w:pPr>
            <w:r>
              <w:t>10</w:t>
            </w:r>
          </w:p>
        </w:tc>
        <w:tc>
          <w:tcPr>
            <w:tcW w:w="2700" w:type="dxa"/>
            <w:tcBorders/>
          </w:tcPr>
          <w:p>
            <w:pPr>
              <w:pStyle w:val="style0"/>
              <w:rPr/>
            </w:pPr>
            <w:r>
              <w:t>Meetings</w:t>
            </w:r>
          </w:p>
        </w:tc>
        <w:tc>
          <w:tcPr>
            <w:tcW w:w="4140" w:type="dxa"/>
            <w:tcBorders/>
          </w:tcPr>
          <w:p>
            <w:pPr>
              <w:pStyle w:val="style0"/>
              <w:rPr/>
            </w:pPr>
            <w:r>
              <w:t>-  Definition of meetings</w:t>
            </w:r>
          </w:p>
          <w:p>
            <w:pPr>
              <w:pStyle w:val="style0"/>
              <w:rPr/>
            </w:pPr>
            <w:r>
              <w:t>- purpose of meetings</w:t>
            </w:r>
          </w:p>
          <w:p>
            <w:pPr>
              <w:pStyle w:val="style0"/>
              <w:rPr/>
            </w:pPr>
            <w:r>
              <w:t>-  Types of meetings</w:t>
            </w:r>
          </w:p>
          <w:p>
            <w:pPr>
              <w:pStyle w:val="style0"/>
              <w:rPr/>
            </w:pPr>
            <w:r>
              <w:t>-  Meeting documents:</w:t>
            </w:r>
          </w:p>
          <w:p>
            <w:pPr>
              <w:pStyle w:val="style0"/>
              <w:rPr/>
            </w:pPr>
            <w:r>
              <w:t xml:space="preserve">      i)  Notice</w:t>
            </w:r>
          </w:p>
          <w:p>
            <w:pPr>
              <w:pStyle w:val="style0"/>
              <w:rPr/>
            </w:pPr>
            <w:r>
              <w:t xml:space="preserve">     ii)  Agenda</w:t>
            </w:r>
          </w:p>
          <w:p>
            <w:pPr>
              <w:pStyle w:val="style0"/>
              <w:rPr/>
            </w:pPr>
            <w:r>
              <w:t xml:space="preserve">    iii) Minutes</w:t>
            </w:r>
          </w:p>
          <w:p>
            <w:pPr>
              <w:pStyle w:val="style0"/>
              <w:rPr/>
            </w:pPr>
            <w:r>
              <w:t>-  Role of the:</w:t>
            </w:r>
          </w:p>
          <w:p>
            <w:pPr>
              <w:pStyle w:val="style0"/>
              <w:rPr/>
            </w:pPr>
            <w:r>
              <w:t xml:space="preserve">     i)  Chairman</w:t>
            </w:r>
          </w:p>
          <w:p>
            <w:pPr>
              <w:pStyle w:val="style0"/>
              <w:rPr/>
            </w:pPr>
            <w:r>
              <w:t xml:space="preserve">    ii)  Secretary</w:t>
            </w:r>
          </w:p>
          <w:p>
            <w:pPr>
              <w:pStyle w:val="style0"/>
              <w:rPr/>
            </w:pPr>
            <w:r>
              <w:t xml:space="preserve">    iii)  Other members</w:t>
            </w:r>
          </w:p>
          <w:p>
            <w:pPr>
              <w:pStyle w:val="style0"/>
              <w:rPr/>
            </w:pPr>
            <w:r>
              <w:t xml:space="preserve">      in ensuring success of a meeting </w:t>
            </w:r>
          </w:p>
        </w:tc>
        <w:tc>
          <w:tcPr>
            <w:tcW w:w="1800" w:type="dxa"/>
            <w:tcBorders/>
          </w:tcPr>
          <w:p>
            <w:pPr>
              <w:pStyle w:val="style0"/>
              <w:rPr/>
            </w:pPr>
            <w:r>
              <w:t xml:space="preserve">       </w:t>
            </w:r>
          </w:p>
          <w:p>
            <w:pPr>
              <w:pStyle w:val="style0"/>
              <w:rPr/>
            </w:pPr>
          </w:p>
          <w:p>
            <w:pPr>
              <w:pStyle w:val="style0"/>
              <w:jc w:val="center"/>
              <w:rPr/>
            </w:pPr>
            <w:r>
              <w:t>2</w:t>
            </w:r>
          </w:p>
        </w:tc>
      </w:tr>
    </w:tbl>
    <w:p>
      <w:pPr>
        <w:pStyle w:val="style0"/>
        <w:rPr>
          <w:b/>
          <w:u w:val="single"/>
        </w:rPr>
      </w:pPr>
    </w:p>
    <w:p>
      <w:pPr>
        <w:pStyle w:val="style0"/>
        <w:rPr>
          <w:b/>
          <w:u w:val="single"/>
        </w:rPr>
      </w:pPr>
      <w:r>
        <w:rPr>
          <w:b/>
          <w:u w:val="single"/>
        </w:rPr>
        <w:t>ASSESSMENT</w:t>
      </w:r>
      <w:r>
        <w:rPr>
          <w:b/>
        </w:rPr>
        <w:t xml:space="preserve"> </w:t>
      </w:r>
    </w:p>
    <w:p>
      <w:pPr>
        <w:pStyle w:val="style0"/>
        <w:rPr>
          <w:b/>
          <w:u w:val="single"/>
        </w:rPr>
      </w:pPr>
    </w:p>
    <w:p>
      <w:pPr>
        <w:pStyle w:val="style0"/>
        <w:numPr>
          <w:ilvl w:val="1"/>
          <w:numId w:val="1"/>
        </w:numPr>
        <w:rPr>
          <w:b/>
          <w:u w:val="single"/>
        </w:rPr>
      </w:pPr>
      <w:r>
        <w:rPr>
          <w:b/>
        </w:rPr>
        <w:t>Three Continuous Assessment Tests -100%</w:t>
      </w:r>
    </w:p>
    <w:p>
      <w:pPr>
        <w:pStyle w:val="style0"/>
        <w:numPr>
          <w:ilvl w:val="1"/>
          <w:numId w:val="1"/>
        </w:numPr>
        <w:rPr>
          <w:b/>
          <w:u w:val="single"/>
        </w:rPr>
      </w:pPr>
      <w:r>
        <w:rPr>
          <w:b/>
        </w:rPr>
        <w:t>Final Examinatio</w:t>
      </w:r>
      <w:r>
        <w:rPr>
          <w:b/>
        </w:rPr>
        <w:t>s -100%</w:t>
      </w:r>
    </w:p>
    <w:p>
      <w:pPr>
        <w:pStyle w:val="style0"/>
        <w:rPr>
          <w:b/>
          <w:u w:val="single"/>
        </w:rPr>
      </w:pPr>
      <w:r>
        <w:rPr>
          <w:b/>
          <w:u w:val="single"/>
        </w:rPr>
        <w:t>REFEREN</w:t>
      </w:r>
      <w:r>
        <w:rPr>
          <w:b/>
          <w:u w:val="single"/>
        </w:rPr>
        <w:t>CE:</w:t>
      </w:r>
    </w:p>
    <w:p>
      <w:pPr>
        <w:pStyle w:val="style0"/>
        <w:rPr>
          <w:b/>
        </w:rPr>
      </w:pPr>
    </w:p>
    <w:p>
      <w:pPr>
        <w:pStyle w:val="style0"/>
        <w:rPr>
          <w:b/>
          <w:u w:val="single"/>
        </w:rPr>
      </w:pPr>
      <w:r>
        <w:rPr>
          <w:b/>
        </w:rPr>
        <w:t>Evan,</w:t>
      </w:r>
      <w:r>
        <w:t xml:space="preserve"> </w:t>
      </w:r>
      <w:r>
        <w:rPr>
          <w:b/>
        </w:rPr>
        <w:t>D. W. (1986).</w:t>
      </w:r>
      <w:r>
        <w:rPr>
          <w:b/>
        </w:rPr>
        <w:t xml:space="preserve"> </w:t>
      </w:r>
      <w:r>
        <w:rPr>
          <w:b/>
          <w:i/>
        </w:rPr>
        <w:t>People Communication and Organisations</w:t>
      </w:r>
      <w:r>
        <w:rPr>
          <w:b/>
          <w:i/>
        </w:rPr>
        <w:t>.</w:t>
      </w:r>
    </w:p>
    <w:p>
      <w:pPr>
        <w:pStyle w:val="style0"/>
        <w:rPr>
          <w:b/>
        </w:rPr>
      </w:pPr>
      <w:r>
        <w:rPr>
          <w:b/>
        </w:rPr>
        <w:t>(2</w:t>
      </w:r>
      <w:r>
        <w:rPr>
          <w:b/>
          <w:vertAlign w:val="superscript"/>
        </w:rPr>
        <w:t>nd</w:t>
      </w:r>
      <w:r>
        <w:rPr>
          <w:b/>
        </w:rPr>
        <w:t xml:space="preserve"> ed), Great Britain: Pearson Education Ltd.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>Fromklin, V., Rodman, R. Rinehart, R. (1998) An Introduction to Language .</w:t>
      </w:r>
    </w:p>
    <w:p>
      <w:pPr>
        <w:pStyle w:val="style0"/>
        <w:rPr>
          <w:b/>
        </w:rPr>
      </w:pPr>
      <w:r>
        <w:rPr>
          <w:b/>
        </w:rPr>
        <w:t xml:space="preserve"> (4</w:t>
      </w:r>
      <w:r>
        <w:rPr>
          <w:b/>
          <w:vertAlign w:val="superscript"/>
        </w:rPr>
        <w:t>th</w:t>
      </w:r>
      <w:r>
        <w:rPr>
          <w:b/>
        </w:rPr>
        <w:t xml:space="preserve"> Ed), Winstone Publishers.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>Stanton,N. (2004).</w:t>
      </w:r>
      <w:r>
        <w:rPr>
          <w:b/>
          <w:i/>
        </w:rPr>
        <w:t>Mastering Communication</w:t>
      </w:r>
      <w:r>
        <w:rPr>
          <w:b/>
        </w:rPr>
        <w:t>. (4</w:t>
      </w:r>
      <w:r>
        <w:rPr>
          <w:b/>
          <w:vertAlign w:val="superscript"/>
        </w:rPr>
        <w:t>th</w:t>
      </w:r>
      <w:r>
        <w:rPr>
          <w:b/>
        </w:rPr>
        <w:t xml:space="preserve"> Ed) Macmillan Publishers</w:t>
      </w:r>
    </w:p>
    <w:p>
      <w:pPr>
        <w:pStyle w:val="style0"/>
        <w:rPr>
          <w:b/>
        </w:rPr>
      </w:pPr>
      <w:r>
        <w:rPr>
          <w:b/>
        </w:rPr>
        <w:t xml:space="preserve"> Sillars, S. (1988). </w:t>
      </w:r>
      <w:r>
        <w:rPr>
          <w:b/>
          <w:i/>
        </w:rPr>
        <w:t>Success in Communication</w:t>
      </w:r>
      <w:r>
        <w:rPr>
          <w:b/>
        </w:rPr>
        <w:t>. Great Britain: Athenaum Press Ltd.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>Roach, P. (2000).</w:t>
      </w:r>
      <w:r>
        <w:rPr>
          <w:b/>
          <w:i/>
        </w:rPr>
        <w:t>English</w:t>
      </w:r>
      <w:r>
        <w:rPr>
          <w:b/>
        </w:rPr>
        <w:t xml:space="preserve">, </w:t>
      </w:r>
      <w:r>
        <w:rPr>
          <w:b/>
          <w:i/>
        </w:rPr>
        <w:t>A Self-Contained Comprehensive Pronunciation.</w:t>
      </w:r>
      <w:r>
        <w:rPr>
          <w:b/>
        </w:rPr>
        <w:t xml:space="preserve"> (3</w:t>
      </w:r>
      <w:r>
        <w:rPr>
          <w:b/>
          <w:vertAlign w:val="superscript"/>
        </w:rPr>
        <w:t>rd</w:t>
      </w:r>
      <w:r>
        <w:rPr>
          <w:b/>
        </w:rPr>
        <w:t xml:space="preserve"> Ed),UK: Cambridge University Press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 xml:space="preserve">Roach,P. (2000). </w:t>
      </w:r>
      <w:r>
        <w:rPr>
          <w:b/>
          <w:i/>
        </w:rPr>
        <w:t>English Phonetics and Phonology. A Practical Course.</w:t>
      </w:r>
      <w:r>
        <w:rPr>
          <w:b/>
        </w:rPr>
        <w:t xml:space="preserve"> (3</w:t>
      </w:r>
      <w:r>
        <w:rPr>
          <w:b/>
          <w:vertAlign w:val="superscript"/>
        </w:rPr>
        <w:t>rd</w:t>
      </w:r>
      <w:r>
        <w:rPr>
          <w:b/>
        </w:rPr>
        <w:t xml:space="preserve"> Ed), UK: Cambridge University Press.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 xml:space="preserve">Robinson, D., Power, R. (1984) . </w:t>
      </w:r>
      <w:r>
        <w:rPr>
          <w:b/>
          <w:i/>
        </w:rPr>
        <w:t>Spotlight on Communication, A Skill Based</w:t>
      </w:r>
      <w:r>
        <w:rPr>
          <w:b/>
        </w:rPr>
        <w:t xml:space="preserve"> </w:t>
      </w:r>
      <w:r>
        <w:rPr>
          <w:b/>
          <w:i/>
        </w:rPr>
        <w:t>Approach</w:t>
      </w:r>
      <w:r>
        <w:rPr>
          <w:b/>
        </w:rPr>
        <w:t>. Great Britain: Pitman Publishers</w:t>
      </w:r>
    </w:p>
    <w:p>
      <w:pPr>
        <w:pStyle w:val="style0"/>
        <w:rPr>
          <w:b/>
        </w:rPr>
      </w:pPr>
    </w:p>
    <w:p>
      <w:pPr>
        <w:pStyle w:val="style0"/>
        <w:rPr>
          <w:b/>
          <w:i/>
        </w:rPr>
      </w:pPr>
      <w:r>
        <w:rPr>
          <w:b/>
        </w:rPr>
        <w:t xml:space="preserve">Thitu, E., Gichuhi S., Muthee G. (2005) </w:t>
      </w:r>
      <w:r>
        <w:rPr>
          <w:b/>
          <w:i/>
        </w:rPr>
        <w:t>Communication Skills Manual</w:t>
      </w:r>
      <w:r>
        <w:rPr>
          <w:b/>
          <w:i/>
        </w:rPr>
        <w:t>.</w:t>
      </w:r>
    </w:p>
    <w:p>
      <w:pPr>
        <w:pStyle w:val="style0"/>
        <w:rPr>
          <w:b/>
          <w:i/>
        </w:rPr>
      </w:pPr>
    </w:p>
    <w:p>
      <w:pPr>
        <w:pStyle w:val="style0"/>
        <w:rPr>
          <w:b/>
        </w:rPr>
      </w:pPr>
      <w:r>
        <w:rPr>
          <w:b/>
        </w:rPr>
        <w:t xml:space="preserve"> Internet</w:t>
      </w:r>
    </w:p>
    <w:p>
      <w:pPr>
        <w:pStyle w:val="style0"/>
        <w:rPr>
          <w:i/>
          <w:u w:val="single"/>
        </w:rPr>
      </w:pPr>
    </w:p>
    <w:p>
      <w:pPr>
        <w:pStyle w:val="style0"/>
        <w:rPr>
          <w:i/>
          <w:u w:val="single"/>
        </w:rPr>
      </w:pPr>
    </w:p>
    <w:p>
      <w:pPr>
        <w:pStyle w:val="style0"/>
        <w:rPr>
          <w:i/>
          <w:u w:val="single"/>
        </w:rPr>
      </w:pPr>
      <w:r>
        <w:rPr>
          <w:i/>
          <w:u w:val="single"/>
        </w:rPr>
        <w:t>NOTE:</w:t>
      </w:r>
    </w:p>
    <w:p>
      <w:pPr>
        <w:pStyle w:val="style0"/>
        <w:rPr>
          <w:i/>
          <w:u w:val="single"/>
        </w:rPr>
      </w:pPr>
      <w:r>
        <w:rPr>
          <w:i/>
          <w:u w:val="single"/>
        </w:rPr>
        <w:t>Oxford Advanced Learners Dictionary of Correct English or any other good dictionary of English pronunciation is a must for this course</w:t>
      </w:r>
    </w:p>
    <w:p>
      <w:pPr>
        <w:pStyle w:val="style0"/>
        <w:rPr/>
      </w:pPr>
    </w:p>
    <w:p>
      <w:pPr>
        <w:pStyle w:val="style0"/>
        <w:rPr/>
      </w:pPr>
    </w:p>
    <w:sectPr>
      <w:footerReference w:type="even" r:id="rId2"/>
      <w:footerReference w:type="default" r:id="rId3"/>
      <w:pgSz w:w="12240" w:h="15840" w:orient="portrait"/>
      <w:pgMar w:top="720" w:right="864" w:bottom="720" w:left="180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004020304"/>
    <w:charset w:val="00"/>
    <w:family w:val="roman"/>
    <w:pitch w:val="variable"/>
    <w:sig w:usb0="00000000" w:usb1="C0007841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2"/>
      <w:ind w:right="360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3</w:t>
    </w:r>
    <w:r>
      <w:rPr>
        <w:rStyle w:val="style41"/>
      </w:rPr>
      <w:fldChar w:fldCharType="end"/>
    </w:r>
  </w:p>
  <w:p>
    <w:pPr>
      <w:pStyle w:val="style32"/>
      <w:ind w:right="360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46CC03A"/>
    <w:lvl w:ilvl="0" w:tplc="0409000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left" w:leader="none" w:pos="2160"/>
        </w:tabs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320"/>
        </w:tabs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480"/>
        </w:tabs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pPr>
      <w:tabs>
        <w:tab w:val="center" w:leader="none" w:pos="4320"/>
        <w:tab w:val="right" w:leader="none" w:pos="8640"/>
      </w:tabs>
    </w:pPr>
    <w:rPr/>
  </w:style>
  <w:style w:type="character" w:customStyle="1" w:styleId="style4097">
    <w:name w:val="Footer Char_3746c89c-94cd-454b-b7f9-f28afd21a7e7"/>
    <w:basedOn w:val="style65"/>
    <w:next w:val="style4097"/>
    <w:link w:val="style32"/>
    <w:rPr>
      <w:rFonts w:ascii="Times New Roman" w:cs="Times New Roman" w:eastAsia="Times New Roman" w:hAnsi="Times New Roman"/>
      <w:sz w:val="24"/>
      <w:szCs w:val="24"/>
    </w:rPr>
  </w:style>
  <w:style w:type="character" w:styleId="style41">
    <w:name w:val="page number"/>
    <w:basedOn w:val="style65"/>
    <w:next w:val="style4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Words>369</Words>
  <Pages>3</Pages>
  <Characters>2093</Characters>
  <Application>WPS Office</Application>
  <DocSecurity>0</DocSecurity>
  <Paragraphs>154</Paragraphs>
  <ScaleCrop>false</ScaleCrop>
  <LinksUpToDate>false</LinksUpToDate>
  <CharactersWithSpaces>2531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2020-07-29T06:14:00Z</dcterms:created>
  <dc:creator>Lucy</dc:creator>
  <lastModifiedBy>itel S665L</lastModifiedBy>
  <dcterms:modified xsi:type="dcterms:W3CDTF">2025-12-12T12:17:14Z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b446992e24fb4cd880b13e9ce77c57cf</vt:lpwstr>
  </property>
</Properties>
</file>